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EB Garamond" w:cs="EB Garamond" w:eastAsia="EB Garamond" w:hAnsi="EB Garamond"/>
          <w:b w:val="1"/>
          <w:sz w:val="40"/>
          <w:szCs w:val="4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40"/>
          <w:szCs w:val="40"/>
          <w:rtl w:val="0"/>
        </w:rPr>
        <w:t xml:space="preserve">Psy405 Important By Pin2.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Briefly explain student centered teaching?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Briefly explain “like no others”?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Briefly explain the characteristics of the “political” person according to the Study of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Values?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 In which stage model have an influence on the observer?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According to the Albert Eliss how biological factor cause emotional disturbance?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 Define need? Briefly explain overt and covert need ? 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 How you define the need?enlist types of needs?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 Sullivan interview techniques?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 “Reinforcement” according to the skinner explain with example.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B Garamon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